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95C" w14:textId="77777777" w:rsidR="005532DF" w:rsidRDefault="00000000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Microsoft YaHei UI" w:hint="eastAsia"/>
          <w:color w:val="333333"/>
          <w:spacing w:val="15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云南大学研究生招生复试考场规则</w:t>
      </w:r>
    </w:p>
    <w:p w14:paraId="17382927" w14:textId="77777777" w:rsidR="005532DF" w:rsidRDefault="00000000">
      <w:pPr>
        <w:pStyle w:val="a7"/>
        <w:widowControl w:val="0"/>
        <w:shd w:val="clear" w:color="auto" w:fill="FFFFFF"/>
        <w:tabs>
          <w:tab w:val="left" w:pos="1276"/>
          <w:tab w:val="left" w:pos="1560"/>
        </w:tabs>
        <w:snapToGrid w:val="0"/>
        <w:spacing w:before="0" w:beforeAutospacing="0" w:after="0" w:afterAutospacing="0" w:line="560" w:lineRule="exact"/>
        <w:ind w:rightChars="200" w:right="420"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一、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考生应自觉服从考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工作人员管理，遵从复试考核有关安排，诚信应考。不得以任何理由妨碍考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工作人员履行职责，不得扰乱考场及其他复试工作地点的秩序。</w:t>
      </w:r>
    </w:p>
    <w:p w14:paraId="2FD0899C" w14:textId="77777777" w:rsidR="005532DF" w:rsidRDefault="00000000">
      <w:pPr>
        <w:pStyle w:val="a7"/>
        <w:widowControl w:val="0"/>
        <w:shd w:val="clear" w:color="auto" w:fill="FFFFFF"/>
        <w:tabs>
          <w:tab w:val="left" w:pos="1276"/>
          <w:tab w:val="left" w:pos="1560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二、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考生在复试前应当按照报考学院的要求完成资格审核、缴纳复试费，提交《云南大学诚信复试承诺书》，以及报考学院要求的其他材料。</w:t>
      </w:r>
    </w:p>
    <w:p w14:paraId="549753F3" w14:textId="77777777" w:rsidR="005532DF" w:rsidRDefault="00000000">
      <w:pPr>
        <w:pStyle w:val="a7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672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三、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除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报考专业要求的工具材料外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，考生不得携带其他与考试有关的纸质材料及其</w:t>
      </w:r>
      <w:proofErr w:type="gramStart"/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他电子</w:t>
      </w:r>
      <w:proofErr w:type="gramEnd"/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存储设备进行复试。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不得由他人替考，也不得接受他人或机构以任何方式助考。</w:t>
      </w:r>
    </w:p>
    <w:p w14:paraId="4D4507DD" w14:textId="77777777" w:rsidR="005532DF" w:rsidRDefault="00000000">
      <w:pPr>
        <w:pStyle w:val="a7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四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、复试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考场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得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吸烟，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保持肃静。</w:t>
      </w:r>
    </w:p>
    <w:p w14:paraId="6BE550DE" w14:textId="77777777" w:rsidR="005532DF" w:rsidRDefault="00000000">
      <w:pPr>
        <w:pStyle w:val="a7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五、考生在复试过程中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得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求助他人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；除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院系有特殊规定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外，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不得以任何方式查阅资料；不发表与复试内容无关的言论。</w:t>
      </w:r>
    </w:p>
    <w:p w14:paraId="68657164" w14:textId="77777777" w:rsidR="005532DF" w:rsidRDefault="00000000">
      <w:pPr>
        <w:pStyle w:val="a7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eastAsia="仿宋" w:hint="eastAsia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六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、复试结束后，</w:t>
      </w:r>
      <w:r>
        <w:rPr>
          <w:rFonts w:eastAsia="仿宋"/>
          <w:color w:val="000000" w:themeColor="text1"/>
          <w:sz w:val="32"/>
          <w:szCs w:val="32"/>
        </w:rPr>
        <w:t>不得将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，否则</w:t>
      </w:r>
      <w:r>
        <w:rPr>
          <w:rFonts w:eastAsia="仿宋" w:hint="eastAsia"/>
          <w:color w:val="000000" w:themeColor="text1"/>
          <w:sz w:val="32"/>
          <w:szCs w:val="32"/>
        </w:rPr>
        <w:t>一经查实即</w:t>
      </w:r>
      <w:r>
        <w:rPr>
          <w:rFonts w:eastAsia="仿宋"/>
          <w:color w:val="000000" w:themeColor="text1"/>
          <w:sz w:val="32"/>
          <w:szCs w:val="32"/>
        </w:rPr>
        <w:t>按</w:t>
      </w:r>
      <w:r>
        <w:rPr>
          <w:rFonts w:eastAsia="仿宋" w:hint="eastAsia"/>
          <w:color w:val="000000" w:themeColor="text1"/>
          <w:sz w:val="32"/>
          <w:szCs w:val="32"/>
        </w:rPr>
        <w:t>舞</w:t>
      </w:r>
      <w:r>
        <w:rPr>
          <w:rFonts w:eastAsia="仿宋"/>
          <w:color w:val="000000" w:themeColor="text1"/>
          <w:sz w:val="32"/>
          <w:szCs w:val="32"/>
        </w:rPr>
        <w:t>弊处理，取消复试成绩</w:t>
      </w:r>
      <w:r>
        <w:rPr>
          <w:rFonts w:eastAsia="仿宋" w:hint="eastAsia"/>
          <w:color w:val="000000" w:themeColor="text1"/>
          <w:sz w:val="32"/>
          <w:szCs w:val="32"/>
        </w:rPr>
        <w:t>、上报教育部并计入个人诚信档案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78CD3C67" w14:textId="77777777" w:rsidR="005532DF" w:rsidRDefault="00000000">
      <w:pPr>
        <w:pStyle w:val="a7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七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、考生如不遵守考场规则，不服从考试工作人员管理，有违纪、作弊等行为的，将按照《国家教育考试违规处理办法》进行处理并将情况记入国家教育考试诚信档案。</w:t>
      </w: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考生应知晓并自觉遵守国家和学校相关考试法律法规。不得有违纪、作弊等行为，否则将按</w:t>
      </w: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lastRenderedPageBreak/>
        <w:t>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sectPr w:rsidR="0055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mYTY2MWNhODkzMzk4NzJkZjhkMjFkYTNhNTE2YTkifQ=="/>
    <w:docVar w:name="KSO_WPS_MARK_KEY" w:val="9fc83545-0fbb-4ef3-9319-2efb7345bb1f"/>
  </w:docVars>
  <w:rsids>
    <w:rsidRoot w:val="00837C93"/>
    <w:rsid w:val="002301E4"/>
    <w:rsid w:val="00243141"/>
    <w:rsid w:val="0030740F"/>
    <w:rsid w:val="0035280C"/>
    <w:rsid w:val="00460555"/>
    <w:rsid w:val="005532DF"/>
    <w:rsid w:val="005E270E"/>
    <w:rsid w:val="00646FA0"/>
    <w:rsid w:val="00773E49"/>
    <w:rsid w:val="007C635C"/>
    <w:rsid w:val="00837C93"/>
    <w:rsid w:val="00A53091"/>
    <w:rsid w:val="00C715D5"/>
    <w:rsid w:val="00C969FD"/>
    <w:rsid w:val="00CC42E1"/>
    <w:rsid w:val="00D065EC"/>
    <w:rsid w:val="00D506E2"/>
    <w:rsid w:val="00DF2513"/>
    <w:rsid w:val="00F9039B"/>
    <w:rsid w:val="00F91771"/>
    <w:rsid w:val="042A5B37"/>
    <w:rsid w:val="080976BA"/>
    <w:rsid w:val="15EE7D7F"/>
    <w:rsid w:val="20EC2798"/>
    <w:rsid w:val="262B3BD9"/>
    <w:rsid w:val="2983452C"/>
    <w:rsid w:val="29B23721"/>
    <w:rsid w:val="2FF975F4"/>
    <w:rsid w:val="49695393"/>
    <w:rsid w:val="50586C17"/>
    <w:rsid w:val="50B67315"/>
    <w:rsid w:val="5ED928ED"/>
    <w:rsid w:val="5EE05174"/>
    <w:rsid w:val="67DB2ABC"/>
    <w:rsid w:val="6C0B405A"/>
    <w:rsid w:val="751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3044"/>
  <w15:docId w15:val="{E091484D-125A-4A78-B1BD-1FAA8C4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丽 林</cp:lastModifiedBy>
  <cp:revision>9</cp:revision>
  <dcterms:created xsi:type="dcterms:W3CDTF">2020-05-06T02:03:00Z</dcterms:created>
  <dcterms:modified xsi:type="dcterms:W3CDTF">2025-03-15T04:02:00Z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EF70DB0399B44C2AA4F42C05FEB609E5</vt:lpwstr>
  </property>
  <property fmtid="{D5CDD505-2E9C-101B-9397-08002B2CF9AE}" pid="4" name="KSOTemplateDocerSaveRecord">
    <vt:lpwstr>eyJoZGlkIjoiN2ZmYTY2MWNhODkzMzk4NzJkZjhkMjFkYTNhNTE2YTkiLCJ1c2VySWQiOiI3NTExODMxODYifQ==</vt:lpwstr>
  </property>
</Properties>
</file>